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AAD">
        <w:rPr>
          <w:rFonts w:ascii="標楷體" w:eastAsia="標楷體" w:hAnsi="標楷體" w:hint="eastAsia"/>
          <w:b/>
          <w:sz w:val="32"/>
          <w:shd w:val="pct15" w:color="auto" w:fill="FFFFFF"/>
        </w:rPr>
        <w:t>110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9758DC">
        <w:rPr>
          <w:rFonts w:ascii="標楷體" w:eastAsia="標楷體" w:hAnsi="標楷體" w:hint="eastAsia"/>
          <w:b/>
          <w:sz w:val="32"/>
          <w:shd w:val="pct15" w:color="auto" w:fill="FFFFFF"/>
        </w:rPr>
        <w:t>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</w:t>
      </w:r>
      <w:proofErr w:type="gramStart"/>
      <w:r w:rsidRPr="003C6FEA">
        <w:rPr>
          <w:rFonts w:ascii="標楷體" w:eastAsia="標楷體" w:hAnsi="標楷體" w:hint="eastAsia"/>
          <w:color w:val="000000" w:themeColor="text1"/>
          <w:szCs w:val="24"/>
        </w:rPr>
        <w:t>是否合本表</w:t>
      </w:r>
      <w:proofErr w:type="gramEnd"/>
      <w:r w:rsidRPr="003C6FE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(1</w:t>
                            </w:r>
                            <w:r w:rsidR="0071605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6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(1</w:t>
                      </w:r>
                      <w:r w:rsidR="0071605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6</w:t>
                      </w:r>
                      <w:bookmarkStart w:id="1" w:name="_GoBack"/>
                      <w:bookmarkEnd w:id="1"/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35BB7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6164580</wp:posOffset>
                </wp:positionH>
                <wp:positionV relativeFrom="paragraph">
                  <wp:posOffset>314325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5.4pt;margin-top:24.7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257175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 xml:space="preserve"> (12</w:t>
                            </w: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</w:t>
                            </w:r>
                            <w:r w:rsidR="005D410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9.65pt;margin-top:20.2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 xml:space="preserve"> (12</w:t>
                      </w: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 w:rsidR="005D410E">
                        <w:rPr>
                          <w:rFonts w:ascii="標楷體" w:eastAsia="標楷體" w:hAnsi="標楷體" w:hint="eastAsia"/>
                          <w:sz w:val="22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</w:t>
                            </w:r>
                            <w:r w:rsidR="00D32528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16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</w:t>
                      </w:r>
                      <w:r w:rsidR="00D32528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16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35BB7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9420860</wp:posOffset>
                </wp:positionH>
                <wp:positionV relativeFrom="paragraph">
                  <wp:posOffset>3131185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135BB7" w:rsidRPr="00620F9A" w:rsidTr="00732B5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135BB7" w:rsidRDefault="00135BB7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135BB7" w:rsidRPr="00620F9A" w:rsidRDefault="00135BB7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135BB7" w:rsidRPr="00620F9A" w:rsidTr="00E2717F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135BB7" w:rsidRPr="00620F9A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135BB7" w:rsidRPr="00054347" w:rsidRDefault="00135BB7" w:rsidP="00135B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C85F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32" type="#_x0000_t202" style="position:absolute;margin-left:741.8pt;margin-top:246.5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135BB7" w:rsidRPr="00620F9A" w:rsidTr="00732B5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135BB7" w:rsidRDefault="00135BB7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135BB7" w:rsidRPr="00620F9A" w:rsidRDefault="00135BB7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135BB7" w:rsidRPr="00620F9A" w:rsidTr="00E2717F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135BB7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135BB7" w:rsidRPr="00620F9A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135BB7" w:rsidRPr="00054347" w:rsidRDefault="00135BB7" w:rsidP="00135BB7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3693795</wp:posOffset>
                </wp:positionH>
                <wp:positionV relativeFrom="paragraph">
                  <wp:posOffset>512445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3" type="#_x0000_t202" style="position:absolute;margin-left:290.85pt;margin-top:40.35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3621405</wp:posOffset>
                </wp:positionH>
                <wp:positionV relativeFrom="paragraph">
                  <wp:posOffset>2780665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71605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026E76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0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4" type="#_x0000_t202" style="position:absolute;margin-left:285.15pt;margin-top:218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71605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026E76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0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posOffset>5256530</wp:posOffset>
                </wp:positionH>
                <wp:positionV relativeFrom="paragraph">
                  <wp:posOffset>2761615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5" type="#_x0000_t202" style="position:absolute;margin-left:413.9pt;margin-top:217.45pt;width:291.7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3869055</wp:posOffset>
                </wp:positionH>
                <wp:positionV relativeFrom="paragraph">
                  <wp:posOffset>3646170</wp:posOffset>
                </wp:positionV>
                <wp:extent cx="4797425" cy="409575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</w:t>
                                  </w:r>
                                  <w:proofErr w:type="gramStart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jc w:val="center"/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商業英語會話(二)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672E1B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A764C4" w:rsidRPr="00C269FD" w:rsidTr="00A764C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A764C4" w:rsidRPr="00C269FD" w:rsidRDefault="00135BB7" w:rsidP="00A764C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72E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略管理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764C4" w:rsidRPr="00C269FD" w:rsidRDefault="00A764C4" w:rsidP="00A764C4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A764C4" w:rsidRDefault="00A764C4" w:rsidP="00A764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6" type="#_x0000_t202" style="position:absolute;margin-left:304.65pt;margin-top:287.1pt;width:377.75pt;height:3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</w:t>
                            </w:r>
                            <w:proofErr w:type="gramStart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jc w:val="center"/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商業英語會話(二)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672E1B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A764C4" w:rsidRPr="00C269FD" w:rsidTr="00A764C4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A764C4" w:rsidRPr="00C269FD" w:rsidRDefault="00135BB7" w:rsidP="00A764C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72E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略管理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764C4" w:rsidRPr="00C269FD" w:rsidRDefault="00A764C4" w:rsidP="00A764C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A764C4" w:rsidRDefault="00A764C4" w:rsidP="00A764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A9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A764C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A764C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7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BD1GMtIgIAAP8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A764C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A764C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026E7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D32528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9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026E76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D32528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E714C9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E714C9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35BB7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135BB7" w:rsidRPr="00054347" w:rsidRDefault="00135BB7" w:rsidP="00135B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實用英文(二)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35BB7" w:rsidRPr="00054347" w:rsidRDefault="00135BB7" w:rsidP="00135BB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E071B2" w:rsidRPr="00E071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E071B2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18147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</w:t>
      </w:r>
      <w:r w:rsidR="00026E76">
        <w:rPr>
          <w:rFonts w:ascii="標楷體" w:eastAsia="標楷體" w:hAnsi="標楷體" w:hint="eastAsia"/>
          <w:b/>
          <w:szCs w:val="24"/>
          <w:u w:val="single"/>
        </w:rPr>
        <w:t xml:space="preserve"> (1</w:t>
      </w:r>
      <w:r w:rsidR="00026E76">
        <w:rPr>
          <w:rFonts w:ascii="標楷體" w:eastAsia="標楷體" w:hAnsi="標楷體"/>
          <w:b/>
          <w:szCs w:val="24"/>
          <w:u w:val="single"/>
        </w:rPr>
        <w:t>6</w: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學分)</w:t>
      </w:r>
    </w:p>
    <w:p w:rsidR="00181476" w:rsidRDefault="00C23B4A" w:rsidP="00181476">
      <w:pPr>
        <w:spacing w:beforeLines="50" w:before="180"/>
        <w:rPr>
          <w:rFonts w:ascii="標楷體" w:eastAsia="標楷體" w:hAnsi="標楷體"/>
          <w:sz w:val="22"/>
        </w:rPr>
      </w:pPr>
      <w:r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135BB7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97155</wp:posOffset>
                </wp:positionH>
                <wp:positionV relativeFrom="paragraph">
                  <wp:posOffset>70485</wp:posOffset>
                </wp:positionV>
                <wp:extent cx="3705225" cy="37338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24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567"/>
                              <w:gridCol w:w="567"/>
                              <w:gridCol w:w="992"/>
                            </w:tblGrid>
                            <w:tr w:rsidR="00135BB7" w:rsidRPr="00620F9A" w:rsidTr="00135BB7">
                              <w:trPr>
                                <w:trHeight w:val="426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1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運算思維與程式設計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A27251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 w:val="16"/>
                                    </w:rPr>
                                  </w:pPr>
                                  <w:r w:rsidRPr="00A2725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00450F" w:rsidRDefault="00135BB7" w:rsidP="00135BB7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135BB7" w:rsidRPr="00620F9A" w:rsidTr="00135BB7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35BB7" w:rsidRPr="00620F9A" w:rsidRDefault="00135BB7" w:rsidP="00135BB7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7.65pt;margin-top:5.55pt;width:291.75pt;height:29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" filled="f" stroked="f">
                <v:textbox>
                  <w:txbxContent>
                    <w:tbl>
                      <w:tblPr>
                        <w:tblOverlap w:val="never"/>
                        <w:tblW w:w="524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567"/>
                        <w:gridCol w:w="567"/>
                        <w:gridCol w:w="992"/>
                      </w:tblGrid>
                      <w:tr w:rsidR="00135BB7" w:rsidRPr="00620F9A" w:rsidTr="00135BB7">
                        <w:trPr>
                          <w:trHeight w:val="426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1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16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運算思維與程式設計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A27251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 w:val="16"/>
                              </w:rPr>
                            </w:pPr>
                            <w:r w:rsidRPr="00A2725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00450F" w:rsidRDefault="00135BB7" w:rsidP="00135BB7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135BB7" w:rsidRPr="00620F9A" w:rsidTr="00135BB7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35BB7" w:rsidRPr="00620F9A" w:rsidRDefault="00135BB7" w:rsidP="00135BB7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135BB7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8882380</wp:posOffset>
                </wp:positionH>
                <wp:positionV relativeFrom="paragraph">
                  <wp:posOffset>153670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Pr="006C770B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D159CA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9B326D" w:rsidRDefault="009B326D" w:rsidP="00D159C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026E76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E61DC3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9.4pt;margin-top:12.1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BbqjO2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D159CA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Pr="006C770B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D159CA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9B326D" w:rsidRDefault="009B326D" w:rsidP="00D159C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026E76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E61DC3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B51AAD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110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修習非本系所開設之科目，其學分原則不予抵免。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可修習財金系企業購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E714C9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6E76"/>
    <w:rsid w:val="00027486"/>
    <w:rsid w:val="00054347"/>
    <w:rsid w:val="000716DE"/>
    <w:rsid w:val="00075BAF"/>
    <w:rsid w:val="000B4B5D"/>
    <w:rsid w:val="000E3823"/>
    <w:rsid w:val="00135BB7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5D410E"/>
    <w:rsid w:val="00680AD6"/>
    <w:rsid w:val="00692783"/>
    <w:rsid w:val="006B2B19"/>
    <w:rsid w:val="006E5725"/>
    <w:rsid w:val="00713C2F"/>
    <w:rsid w:val="00716056"/>
    <w:rsid w:val="00735DE8"/>
    <w:rsid w:val="0076548A"/>
    <w:rsid w:val="007A1A95"/>
    <w:rsid w:val="007B5828"/>
    <w:rsid w:val="007C4F88"/>
    <w:rsid w:val="00853F28"/>
    <w:rsid w:val="00926585"/>
    <w:rsid w:val="00930C29"/>
    <w:rsid w:val="00932EC5"/>
    <w:rsid w:val="00947F8A"/>
    <w:rsid w:val="009758DC"/>
    <w:rsid w:val="009B326D"/>
    <w:rsid w:val="009F7FE1"/>
    <w:rsid w:val="00A4604F"/>
    <w:rsid w:val="00A56BBF"/>
    <w:rsid w:val="00A764C4"/>
    <w:rsid w:val="00AC3D8B"/>
    <w:rsid w:val="00B17999"/>
    <w:rsid w:val="00B51AAD"/>
    <w:rsid w:val="00BD5231"/>
    <w:rsid w:val="00BE4D2A"/>
    <w:rsid w:val="00C23B4A"/>
    <w:rsid w:val="00C76ECA"/>
    <w:rsid w:val="00CC6E07"/>
    <w:rsid w:val="00CE1A42"/>
    <w:rsid w:val="00D1200C"/>
    <w:rsid w:val="00D159CA"/>
    <w:rsid w:val="00D32528"/>
    <w:rsid w:val="00D7492B"/>
    <w:rsid w:val="00DB23C4"/>
    <w:rsid w:val="00DB47C6"/>
    <w:rsid w:val="00DD62BC"/>
    <w:rsid w:val="00DE7CCB"/>
    <w:rsid w:val="00E071B2"/>
    <w:rsid w:val="00E61DC3"/>
    <w:rsid w:val="00E714C9"/>
    <w:rsid w:val="00EA5196"/>
    <w:rsid w:val="00EB5E94"/>
    <w:rsid w:val="00EC0D93"/>
    <w:rsid w:val="00F20500"/>
    <w:rsid w:val="00F21BC3"/>
    <w:rsid w:val="00F43BF7"/>
    <w:rsid w:val="00F7095F"/>
    <w:rsid w:val="00F71D2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BAEF91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7559-4A0A-4365-8BF5-4C9C4B75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50</cp:revision>
  <dcterms:created xsi:type="dcterms:W3CDTF">2022-01-26T03:08:00Z</dcterms:created>
  <dcterms:modified xsi:type="dcterms:W3CDTF">2022-08-17T06:34:00Z</dcterms:modified>
</cp:coreProperties>
</file>