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BA8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1F5BA8">
        <w:rPr>
          <w:rFonts w:ascii="標楷體" w:eastAsia="標楷體" w:hAnsi="標楷體"/>
          <w:b/>
          <w:sz w:val="32"/>
          <w:shd w:val="pct15" w:color="auto" w:fill="FFFFFF"/>
        </w:rPr>
        <w:t>10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AF09A8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295275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6.15pt;margin-top:23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MRORur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276225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720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720982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90.4pt;margin-top:21.7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XwdE2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720982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720982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FA3A5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FA3A5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AF09A8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9446260</wp:posOffset>
                </wp:positionH>
                <wp:positionV relativeFrom="paragraph">
                  <wp:posOffset>3208020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F09A8" w:rsidRPr="00620F9A" w:rsidTr="004413BE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F09A8" w:rsidRPr="00620F9A" w:rsidTr="00B305F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C1F4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743.8pt;margin-top:252.6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H7AmHP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F09A8" w:rsidRPr="00620F9A" w:rsidTr="004413BE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F09A8" w:rsidRPr="00620F9A" w:rsidTr="00B305F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2713990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(57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213.7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ACblxp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(57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5332730</wp:posOffset>
                </wp:positionH>
                <wp:positionV relativeFrom="paragraph">
                  <wp:posOffset>2694940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419.9pt;margin-top:212.2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469900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5" type="#_x0000_t202" style="position:absolute;margin-left:290.1pt;margin-top:37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D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6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kWMN2yICAAD/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21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21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AF09A8">
                        <w:rPr>
                          <w:rFonts w:ascii="標楷體" w:eastAsia="標楷體" w:hAnsi="標楷體" w:hint="eastAsia"/>
                          <w:sz w:val="22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28710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28710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  <w:bookmarkStart w:id="0" w:name="_GoBack"/>
            <w:bookmarkEnd w:id="0"/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466104" w:rsidRPr="0046610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466104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F09A8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3935730</wp:posOffset>
                </wp:positionH>
                <wp:positionV relativeFrom="paragraph">
                  <wp:posOffset>125095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F09A8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9.9pt;margin-top:9.85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F09A8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7B143A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F09A8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695700" cy="37465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AF09A8" w:rsidRPr="00620F9A" w:rsidTr="00DD2DF5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0;margin-top:7.45pt;width:291pt;height:2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AF09A8" w:rsidRPr="00620F9A" w:rsidTr="00DD2DF5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F09A8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8901430</wp:posOffset>
                </wp:positionH>
                <wp:positionV relativeFrom="paragraph">
                  <wp:posOffset>60325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700.9pt;margin-top:4.7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CAOdGv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1F5BA8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</w:t>
      </w:r>
      <w:r>
        <w:rPr>
          <w:rFonts w:ascii="標楷體" w:eastAsia="標楷體" w:hAnsi="標楷體"/>
          <w:b/>
          <w:sz w:val="32"/>
          <w:shd w:val="pct15" w:color="auto" w:fill="FFFFFF"/>
        </w:rPr>
        <w:t>10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可修習財金系企業購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可修習財金系企業購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287104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1F5BA8"/>
    <w:rsid w:val="00251F4A"/>
    <w:rsid w:val="00287104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66104"/>
    <w:rsid w:val="004928DA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20982"/>
    <w:rsid w:val="00735DE8"/>
    <w:rsid w:val="007B143A"/>
    <w:rsid w:val="007B5828"/>
    <w:rsid w:val="007C4F88"/>
    <w:rsid w:val="00822925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AF09A8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3BDC"/>
    <w:rsid w:val="00DE7CCB"/>
    <w:rsid w:val="00E3709D"/>
    <w:rsid w:val="00E57A69"/>
    <w:rsid w:val="00F43BF7"/>
    <w:rsid w:val="00F7095F"/>
    <w:rsid w:val="00F83D83"/>
    <w:rsid w:val="00F87177"/>
    <w:rsid w:val="00FA3A56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74161F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9A98-7027-48D7-B4F9-10FC0B3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51</cp:revision>
  <dcterms:created xsi:type="dcterms:W3CDTF">2022-01-26T03:08:00Z</dcterms:created>
  <dcterms:modified xsi:type="dcterms:W3CDTF">2022-08-17T06:46:00Z</dcterms:modified>
</cp:coreProperties>
</file>